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27CB4">
        <w:rPr>
          <w:rFonts w:cstheme="minorHAnsi"/>
          <w:b/>
          <w:sz w:val="40"/>
          <w:szCs w:val="40"/>
        </w:rPr>
        <w:t xml:space="preserve">Tarifblatt </w:t>
      </w:r>
      <w:r w:rsidRPr="00E27CB4">
        <w:rPr>
          <w:rFonts w:cstheme="minorHAnsi"/>
          <w:b/>
          <w:sz w:val="20"/>
          <w:szCs w:val="20"/>
        </w:rPr>
        <w:t>Beschluss des Verwaltungsrates vom 24.01.2018</w:t>
      </w:r>
    </w:p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>Alle Preisanpassungen und Änderungen im Tarifblatt werden vom Verwaltungsrat der WKWM AG beschlossen. Die</w:t>
      </w:r>
      <w:r>
        <w:rPr>
          <w:rFonts w:cstheme="minorHAnsi"/>
          <w:sz w:val="20"/>
          <w:szCs w:val="20"/>
        </w:rPr>
        <w:t xml:space="preserve"> </w:t>
      </w:r>
      <w:r w:rsidRPr="00E27CB4">
        <w:rPr>
          <w:rFonts w:cstheme="minorHAnsi"/>
          <w:sz w:val="20"/>
          <w:szCs w:val="20"/>
        </w:rPr>
        <w:t>angegebenen Tarife und Gebühren gelten bis auf Widerruf und die von der WKWM AG vorgenommenen</w:t>
      </w:r>
      <w:r>
        <w:rPr>
          <w:rFonts w:cstheme="minorHAnsi"/>
          <w:sz w:val="20"/>
          <w:szCs w:val="20"/>
        </w:rPr>
        <w:t xml:space="preserve"> </w:t>
      </w:r>
      <w:r w:rsidRPr="00E27CB4">
        <w:rPr>
          <w:rFonts w:cstheme="minorHAnsi"/>
          <w:sz w:val="20"/>
          <w:szCs w:val="20"/>
        </w:rPr>
        <w:t>Preisanpassungen werden nach Inkrafttreten dem Abnehmer in Rechnung gestellt.</w:t>
      </w:r>
    </w:p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27CB4">
        <w:rPr>
          <w:rFonts w:cstheme="minorHAnsi"/>
          <w:b/>
          <w:sz w:val="24"/>
          <w:szCs w:val="24"/>
          <w:u w:val="single"/>
        </w:rPr>
        <w:t>Anschlussgebühr</w:t>
      </w:r>
    </w:p>
    <w:p w:rsidR="006F30D1" w:rsidRPr="00E27CB4" w:rsidRDefault="006F30D1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27CB4" w:rsidRPr="00E27CB4" w:rsidTr="00E27CB4">
        <w:trPr>
          <w:jc w:val="center"/>
        </w:trPr>
        <w:tc>
          <w:tcPr>
            <w:tcW w:w="2303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27CB4">
              <w:rPr>
                <w:rFonts w:cstheme="minorHAnsi"/>
                <w:b/>
                <w:sz w:val="20"/>
                <w:szCs w:val="20"/>
              </w:rPr>
              <w:t>Anschlussleistung</w:t>
            </w:r>
          </w:p>
        </w:tc>
        <w:tc>
          <w:tcPr>
            <w:tcW w:w="2303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27CB4">
              <w:rPr>
                <w:rFonts w:cstheme="minorHAnsi"/>
                <w:b/>
                <w:sz w:val="20"/>
                <w:szCs w:val="20"/>
              </w:rPr>
              <w:t>Anschlussgebühr</w:t>
            </w:r>
          </w:p>
        </w:tc>
        <w:tc>
          <w:tcPr>
            <w:tcW w:w="2303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7CB4">
              <w:rPr>
                <w:rFonts w:cstheme="minorHAnsi"/>
                <w:b/>
                <w:sz w:val="20"/>
                <w:szCs w:val="20"/>
              </w:rPr>
              <w:t>Staatl.Förd</w:t>
            </w:r>
            <w:proofErr w:type="spellEnd"/>
            <w:r w:rsidRPr="00E27CB4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27CB4">
              <w:rPr>
                <w:rFonts w:cstheme="minorHAnsi"/>
                <w:b/>
                <w:sz w:val="20"/>
                <w:szCs w:val="20"/>
              </w:rPr>
              <w:t>INSGESAMT</w:t>
            </w:r>
          </w:p>
        </w:tc>
      </w:tr>
      <w:tr w:rsidR="00E27CB4" w:rsidRPr="00E27CB4" w:rsidTr="00E27CB4">
        <w:trPr>
          <w:jc w:val="center"/>
        </w:trPr>
        <w:tc>
          <w:tcPr>
            <w:tcW w:w="2303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27CB4">
              <w:rPr>
                <w:rFonts w:cstheme="minorHAnsi"/>
                <w:b/>
                <w:sz w:val="20"/>
                <w:szCs w:val="20"/>
              </w:rPr>
              <w:t>kW</w:t>
            </w:r>
          </w:p>
        </w:tc>
        <w:tc>
          <w:tcPr>
            <w:tcW w:w="2303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27CB4">
              <w:rPr>
                <w:rFonts w:cstheme="minorHAnsi"/>
                <w:b/>
                <w:sz w:val="20"/>
                <w:szCs w:val="20"/>
              </w:rPr>
              <w:t>Euro</w:t>
            </w:r>
          </w:p>
        </w:tc>
        <w:tc>
          <w:tcPr>
            <w:tcW w:w="2303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27CB4">
              <w:rPr>
                <w:rFonts w:cstheme="minorHAnsi"/>
                <w:b/>
                <w:sz w:val="20"/>
                <w:szCs w:val="20"/>
              </w:rPr>
              <w:t>Euro</w:t>
            </w:r>
          </w:p>
        </w:tc>
        <w:tc>
          <w:tcPr>
            <w:tcW w:w="2303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27CB4">
              <w:rPr>
                <w:rFonts w:cstheme="minorHAnsi"/>
                <w:b/>
                <w:sz w:val="20"/>
                <w:szCs w:val="20"/>
              </w:rPr>
              <w:t>Euro</w:t>
            </w:r>
          </w:p>
        </w:tc>
      </w:tr>
      <w:tr w:rsidR="00E27CB4" w:rsidTr="00E27CB4">
        <w:trPr>
          <w:jc w:val="center"/>
        </w:trPr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27CB4">
              <w:rPr>
                <w:rFonts w:cstheme="minorHAnsi"/>
                <w:sz w:val="20"/>
                <w:szCs w:val="20"/>
                <w:lang w:val="it-IT"/>
              </w:rPr>
              <w:t xml:space="preserve">Bis </w:t>
            </w:r>
            <w:proofErr w:type="gramStart"/>
            <w:r w:rsidRPr="00E27CB4">
              <w:rPr>
                <w:rFonts w:cstheme="minorHAnsi"/>
                <w:sz w:val="20"/>
                <w:szCs w:val="20"/>
                <w:lang w:val="it-IT"/>
              </w:rPr>
              <w:t>15</w:t>
            </w:r>
            <w:proofErr w:type="gramEnd"/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27CB4">
              <w:rPr>
                <w:rFonts w:cstheme="minorHAnsi"/>
                <w:sz w:val="20"/>
                <w:szCs w:val="20"/>
                <w:lang w:val="it-IT"/>
              </w:rPr>
              <w:t>2.000,00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27CB4">
              <w:rPr>
                <w:rFonts w:cstheme="minorHAnsi"/>
                <w:sz w:val="20"/>
                <w:szCs w:val="20"/>
                <w:lang w:val="it-IT"/>
              </w:rPr>
              <w:t>300,00</w:t>
            </w:r>
          </w:p>
        </w:tc>
        <w:tc>
          <w:tcPr>
            <w:tcW w:w="2303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2.300,00</w:t>
            </w:r>
          </w:p>
        </w:tc>
      </w:tr>
      <w:tr w:rsidR="00E27CB4" w:rsidTr="00E27CB4">
        <w:trPr>
          <w:jc w:val="center"/>
        </w:trPr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27CB4">
              <w:rPr>
                <w:rFonts w:cstheme="minorHAnsi"/>
                <w:sz w:val="20"/>
                <w:szCs w:val="20"/>
              </w:rPr>
              <w:t>16 - 30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3.000,00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3.600,00</w:t>
            </w:r>
          </w:p>
        </w:tc>
      </w:tr>
      <w:tr w:rsidR="00E27CB4" w:rsidTr="00E27CB4">
        <w:trPr>
          <w:jc w:val="center"/>
        </w:trPr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27CB4">
              <w:rPr>
                <w:rFonts w:cstheme="minorHAnsi"/>
                <w:sz w:val="20"/>
                <w:szCs w:val="20"/>
              </w:rPr>
              <w:t>31- 50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4.000,00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1.000,00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5.000,00</w:t>
            </w:r>
          </w:p>
        </w:tc>
      </w:tr>
      <w:tr w:rsidR="00E27CB4" w:rsidTr="00E27CB4">
        <w:trPr>
          <w:jc w:val="center"/>
        </w:trPr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27CB4">
              <w:rPr>
                <w:rFonts w:cstheme="minorHAnsi"/>
                <w:sz w:val="20"/>
                <w:szCs w:val="20"/>
              </w:rPr>
              <w:t>51-75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5.000,00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1.500,00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6.500,00</w:t>
            </w:r>
          </w:p>
        </w:tc>
      </w:tr>
      <w:tr w:rsidR="00E27CB4" w:rsidTr="00E27CB4">
        <w:trPr>
          <w:jc w:val="center"/>
        </w:trPr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27CB4">
              <w:rPr>
                <w:rFonts w:cstheme="minorHAnsi"/>
                <w:sz w:val="20"/>
                <w:szCs w:val="20"/>
              </w:rPr>
              <w:t>75-100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6.000,00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2.000,00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8.000,00</w:t>
            </w:r>
          </w:p>
        </w:tc>
      </w:tr>
      <w:tr w:rsidR="00E27CB4" w:rsidTr="00E27CB4">
        <w:trPr>
          <w:jc w:val="center"/>
        </w:trPr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27CB4">
              <w:rPr>
                <w:rFonts w:cstheme="minorHAnsi"/>
                <w:sz w:val="20"/>
                <w:szCs w:val="20"/>
              </w:rPr>
              <w:t>100-150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7.000,00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3.000,00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10.000,00</w:t>
            </w:r>
          </w:p>
        </w:tc>
      </w:tr>
      <w:tr w:rsidR="00E27CB4" w:rsidTr="00E27CB4">
        <w:trPr>
          <w:jc w:val="center"/>
        </w:trPr>
        <w:tc>
          <w:tcPr>
            <w:tcW w:w="2303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150 - 200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8.000,00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4.000,00</w:t>
            </w:r>
          </w:p>
        </w:tc>
        <w:tc>
          <w:tcPr>
            <w:tcW w:w="2303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12.000,00</w:t>
            </w:r>
          </w:p>
        </w:tc>
      </w:tr>
    </w:tbl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>So lang die staatl. Förderung in Kraft ist, verringert sich die Anschlussgebühr um den entsprechenden Betrag.</w:t>
      </w:r>
    </w:p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>Die Trasse des Anschlusses wird von der WKWM festgelegt; sollte der A</w:t>
      </w:r>
      <w:r>
        <w:rPr>
          <w:rFonts w:cstheme="minorHAnsi"/>
          <w:sz w:val="20"/>
          <w:szCs w:val="20"/>
        </w:rPr>
        <w:t xml:space="preserve">bnehmer eine Änderung wünschen, </w:t>
      </w:r>
      <w:r w:rsidRPr="00E27CB4">
        <w:rPr>
          <w:rFonts w:cstheme="minorHAnsi"/>
          <w:sz w:val="20"/>
          <w:szCs w:val="20"/>
        </w:rPr>
        <w:t>werden</w:t>
      </w:r>
      <w:r>
        <w:rPr>
          <w:rFonts w:cstheme="minorHAnsi"/>
          <w:sz w:val="20"/>
          <w:szCs w:val="20"/>
        </w:rPr>
        <w:t xml:space="preserve"> </w:t>
      </w:r>
      <w:r w:rsidRPr="00E27CB4">
        <w:rPr>
          <w:rFonts w:cstheme="minorHAnsi"/>
          <w:sz w:val="20"/>
          <w:szCs w:val="20"/>
        </w:rPr>
        <w:t>die Mehr</w:t>
      </w:r>
      <w:r>
        <w:rPr>
          <w:rFonts w:cstheme="minorHAnsi"/>
          <w:sz w:val="20"/>
          <w:szCs w:val="20"/>
        </w:rPr>
        <w:t>k</w:t>
      </w:r>
      <w:r w:rsidRPr="00E27CB4">
        <w:rPr>
          <w:rFonts w:cstheme="minorHAnsi"/>
          <w:sz w:val="20"/>
          <w:szCs w:val="20"/>
        </w:rPr>
        <w:t>osten getrennt verrechnet.</w:t>
      </w:r>
    </w:p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27CB4">
        <w:rPr>
          <w:rFonts w:cstheme="minorHAnsi"/>
          <w:b/>
          <w:sz w:val="24"/>
          <w:szCs w:val="24"/>
          <w:u w:val="single"/>
        </w:rPr>
        <w:t>Wärmepreise</w:t>
      </w:r>
    </w:p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 xml:space="preserve">Der Grundpreis für die Wärmeabnahme beträgt </w:t>
      </w:r>
      <w:r>
        <w:rPr>
          <w:rFonts w:cstheme="minorHAnsi"/>
          <w:b/>
          <w:sz w:val="20"/>
          <w:szCs w:val="20"/>
        </w:rPr>
        <w:t>0,105 €/kWh</w:t>
      </w:r>
      <w:r w:rsidRPr="00E27CB4">
        <w:rPr>
          <w:rFonts w:cstheme="minorHAnsi"/>
          <w:sz w:val="20"/>
          <w:szCs w:val="20"/>
        </w:rPr>
        <w:t xml:space="preserve"> Der Wärmepreis ist an die abgenommene</w:t>
      </w:r>
    </w:p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>Wärmemenge gekoppelt.</w:t>
      </w:r>
    </w:p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27CB4">
        <w:rPr>
          <w:rFonts w:cstheme="minorHAnsi"/>
          <w:b/>
          <w:sz w:val="20"/>
          <w:szCs w:val="20"/>
        </w:rPr>
        <w:t>Preisstaffelung: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7CB4" w:rsidRPr="00E27CB4" w:rsidTr="00E27CB4">
        <w:tc>
          <w:tcPr>
            <w:tcW w:w="4606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27CB4">
              <w:rPr>
                <w:rFonts w:cstheme="minorHAnsi"/>
                <w:sz w:val="20"/>
                <w:szCs w:val="20"/>
              </w:rPr>
              <w:t>0,105 €/kWh</w:t>
            </w:r>
          </w:p>
        </w:tc>
        <w:tc>
          <w:tcPr>
            <w:tcW w:w="4606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 Wärmeverbrauch von 0 bis 50 MWh/Jahr</w:t>
            </w:r>
          </w:p>
        </w:tc>
      </w:tr>
      <w:tr w:rsidR="00E27CB4" w:rsidRPr="00E27CB4" w:rsidTr="00E27CB4">
        <w:tc>
          <w:tcPr>
            <w:tcW w:w="4606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0,098 €/kWh</w:t>
            </w:r>
          </w:p>
        </w:tc>
        <w:tc>
          <w:tcPr>
            <w:tcW w:w="4606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 Wärmeverbrauch von mehr als 50 MWh/Jahr</w:t>
            </w:r>
          </w:p>
        </w:tc>
      </w:tr>
    </w:tbl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27CB4">
        <w:rPr>
          <w:rFonts w:cstheme="minorHAnsi"/>
          <w:b/>
          <w:sz w:val="20"/>
          <w:szCs w:val="20"/>
        </w:rPr>
        <w:t>Abzüglich Betrag für staatliche Förderung für den Wärmepreis aus Biomasse</w:t>
      </w:r>
    </w:p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27CB4">
        <w:rPr>
          <w:rFonts w:cstheme="minorHAnsi"/>
          <w:b/>
          <w:sz w:val="24"/>
          <w:szCs w:val="24"/>
          <w:u w:val="single"/>
        </w:rPr>
        <w:t>Grundgebühr</w:t>
      </w:r>
    </w:p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>Die Grundgebühr wird auf die Anschlussleistung laut Tabelle gekoppelt.</w:t>
      </w:r>
    </w:p>
    <w:p w:rsidR="006F30D1" w:rsidRPr="00E27CB4" w:rsidRDefault="006F30D1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27CB4" w:rsidRPr="00E27CB4" w:rsidTr="00E27CB4">
        <w:trPr>
          <w:jc w:val="center"/>
        </w:trPr>
        <w:tc>
          <w:tcPr>
            <w:tcW w:w="4606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27CB4">
              <w:rPr>
                <w:rFonts w:cstheme="minorHAnsi"/>
                <w:b/>
                <w:sz w:val="20"/>
                <w:szCs w:val="20"/>
              </w:rPr>
              <w:t>Anschlussleistung</w:t>
            </w:r>
          </w:p>
        </w:tc>
        <w:tc>
          <w:tcPr>
            <w:tcW w:w="4606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27CB4">
              <w:rPr>
                <w:rFonts w:cstheme="minorHAnsi"/>
                <w:b/>
                <w:sz w:val="20"/>
                <w:szCs w:val="20"/>
              </w:rPr>
              <w:t>Grundgebühr / jährlich</w:t>
            </w:r>
          </w:p>
        </w:tc>
      </w:tr>
      <w:tr w:rsidR="00E27CB4" w:rsidRPr="00E27CB4" w:rsidTr="00E27CB4">
        <w:trPr>
          <w:jc w:val="center"/>
        </w:trPr>
        <w:tc>
          <w:tcPr>
            <w:tcW w:w="4606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27CB4">
              <w:rPr>
                <w:rFonts w:cstheme="minorHAnsi"/>
                <w:b/>
                <w:sz w:val="20"/>
                <w:szCs w:val="20"/>
              </w:rPr>
              <w:t>kW</w:t>
            </w:r>
          </w:p>
        </w:tc>
        <w:tc>
          <w:tcPr>
            <w:tcW w:w="4606" w:type="dxa"/>
          </w:tcPr>
          <w:p w:rsidR="00E27CB4" w:rsidRP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27CB4">
              <w:rPr>
                <w:rFonts w:cstheme="minorHAnsi"/>
                <w:b/>
                <w:sz w:val="20"/>
                <w:szCs w:val="20"/>
              </w:rPr>
              <w:t>Netto €</w:t>
            </w:r>
          </w:p>
        </w:tc>
      </w:tr>
      <w:tr w:rsidR="00E27CB4" w:rsidTr="00E27CB4">
        <w:trPr>
          <w:jc w:val="center"/>
        </w:trPr>
        <w:tc>
          <w:tcPr>
            <w:tcW w:w="4606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Bis 15</w:t>
            </w:r>
          </w:p>
        </w:tc>
        <w:tc>
          <w:tcPr>
            <w:tcW w:w="4606" w:type="dxa"/>
          </w:tcPr>
          <w:p w:rsidR="006F30D1" w:rsidRDefault="006F30D1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180,00</w:t>
            </w:r>
          </w:p>
        </w:tc>
      </w:tr>
      <w:tr w:rsidR="00E27CB4" w:rsidTr="00E27CB4">
        <w:trPr>
          <w:jc w:val="center"/>
        </w:trPr>
        <w:tc>
          <w:tcPr>
            <w:tcW w:w="4606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– 30</w:t>
            </w:r>
          </w:p>
        </w:tc>
        <w:tc>
          <w:tcPr>
            <w:tcW w:w="4606" w:type="dxa"/>
          </w:tcPr>
          <w:p w:rsidR="00E27CB4" w:rsidRDefault="006F30D1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240,00</w:t>
            </w:r>
          </w:p>
        </w:tc>
      </w:tr>
      <w:tr w:rsidR="00E27CB4" w:rsidTr="00E27CB4">
        <w:trPr>
          <w:jc w:val="center"/>
        </w:trPr>
        <w:tc>
          <w:tcPr>
            <w:tcW w:w="4606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– 50</w:t>
            </w:r>
          </w:p>
        </w:tc>
        <w:tc>
          <w:tcPr>
            <w:tcW w:w="4606" w:type="dxa"/>
          </w:tcPr>
          <w:p w:rsidR="00E27CB4" w:rsidRDefault="006F30D1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300,00</w:t>
            </w:r>
          </w:p>
        </w:tc>
      </w:tr>
      <w:tr w:rsidR="00E27CB4" w:rsidTr="00E27CB4">
        <w:trPr>
          <w:jc w:val="center"/>
        </w:trPr>
        <w:tc>
          <w:tcPr>
            <w:tcW w:w="4606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 – 100</w:t>
            </w:r>
          </w:p>
        </w:tc>
        <w:tc>
          <w:tcPr>
            <w:tcW w:w="4606" w:type="dxa"/>
          </w:tcPr>
          <w:p w:rsidR="00E27CB4" w:rsidRDefault="006F30D1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360,00</w:t>
            </w:r>
          </w:p>
        </w:tc>
      </w:tr>
      <w:tr w:rsidR="00E27CB4" w:rsidTr="00E27CB4">
        <w:trPr>
          <w:jc w:val="center"/>
        </w:trPr>
        <w:tc>
          <w:tcPr>
            <w:tcW w:w="4606" w:type="dxa"/>
          </w:tcPr>
          <w:p w:rsidR="00E27CB4" w:rsidRDefault="00E27CB4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101 - 250</w:t>
            </w:r>
          </w:p>
        </w:tc>
        <w:tc>
          <w:tcPr>
            <w:tcW w:w="4606" w:type="dxa"/>
          </w:tcPr>
          <w:p w:rsidR="00E27CB4" w:rsidRDefault="006F30D1" w:rsidP="00E27C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420,00</w:t>
            </w:r>
          </w:p>
        </w:tc>
      </w:tr>
    </w:tbl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>Die angegebenen Preise (Anschlussgebühr, Wärmepreise, Grundgebühr, Wärmezählermiete) verstehen sich ohne die</w:t>
      </w:r>
      <w:r w:rsidR="006F30D1">
        <w:rPr>
          <w:rFonts w:cstheme="minorHAnsi"/>
          <w:sz w:val="20"/>
          <w:szCs w:val="20"/>
        </w:rPr>
        <w:t xml:space="preserve"> </w:t>
      </w:r>
      <w:r w:rsidRPr="00E27CB4">
        <w:rPr>
          <w:rFonts w:cstheme="minorHAnsi"/>
          <w:sz w:val="20"/>
          <w:szCs w:val="20"/>
        </w:rPr>
        <w:t>gesetzliche Mehrwertsteuer.</w:t>
      </w:r>
    </w:p>
    <w:p w:rsidR="006F30D1" w:rsidRPr="00E27CB4" w:rsidRDefault="006F30D1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7CB4" w:rsidRPr="006F30D1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F30D1">
        <w:rPr>
          <w:rFonts w:cstheme="minorHAnsi"/>
          <w:b/>
          <w:sz w:val="24"/>
          <w:szCs w:val="24"/>
          <w:u w:val="single"/>
        </w:rPr>
        <w:t>Rechnungslegung</w:t>
      </w:r>
    </w:p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 xml:space="preserve">Die Rechnungslegung erfolgt </w:t>
      </w:r>
      <w:proofErr w:type="spellStart"/>
      <w:r w:rsidRPr="00E27CB4">
        <w:rPr>
          <w:rFonts w:cstheme="minorHAnsi"/>
          <w:sz w:val="20"/>
          <w:szCs w:val="20"/>
        </w:rPr>
        <w:t>bimestral</w:t>
      </w:r>
      <w:proofErr w:type="spellEnd"/>
      <w:r w:rsidRPr="00E27CB4">
        <w:rPr>
          <w:rFonts w:cstheme="minorHAnsi"/>
          <w:sz w:val="20"/>
          <w:szCs w:val="20"/>
        </w:rPr>
        <w:t xml:space="preserve"> bzw. </w:t>
      </w:r>
      <w:proofErr w:type="spellStart"/>
      <w:r w:rsidRPr="00E27CB4">
        <w:rPr>
          <w:rFonts w:cstheme="minorHAnsi"/>
          <w:sz w:val="20"/>
          <w:szCs w:val="20"/>
        </w:rPr>
        <w:t>trimestral</w:t>
      </w:r>
      <w:proofErr w:type="spellEnd"/>
      <w:r w:rsidRPr="00E27CB4">
        <w:rPr>
          <w:rFonts w:cstheme="minorHAnsi"/>
          <w:sz w:val="20"/>
          <w:szCs w:val="20"/>
        </w:rPr>
        <w:t>. Es wird die effektiv verbrauchte Energiemenge in kWh in</w:t>
      </w:r>
      <w:r w:rsidR="006F30D1">
        <w:rPr>
          <w:rFonts w:cstheme="minorHAnsi"/>
          <w:sz w:val="20"/>
          <w:szCs w:val="20"/>
        </w:rPr>
        <w:t xml:space="preserve"> </w:t>
      </w:r>
      <w:r w:rsidRPr="00E27CB4">
        <w:rPr>
          <w:rFonts w:cstheme="minorHAnsi"/>
          <w:sz w:val="20"/>
          <w:szCs w:val="20"/>
        </w:rPr>
        <w:t>Rechnung gestellt. Die Grundgebühr und die Zählermiete werden bei jeder Rechnungslegung berücksichtigt.</w:t>
      </w:r>
    </w:p>
    <w:p w:rsidR="006F30D1" w:rsidRPr="00E27CB4" w:rsidRDefault="006F30D1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30D1">
        <w:rPr>
          <w:rFonts w:cstheme="minorHAnsi"/>
          <w:b/>
          <w:sz w:val="20"/>
          <w:szCs w:val="20"/>
        </w:rPr>
        <w:t>Stand: Jänner 2018</w:t>
      </w:r>
      <w:r w:rsidRPr="00E27CB4">
        <w:rPr>
          <w:rFonts w:cstheme="minorHAnsi"/>
          <w:sz w:val="20"/>
          <w:szCs w:val="20"/>
        </w:rPr>
        <w:t>. Angaben vorbehaltlich gesetzlicher Änderung</w:t>
      </w:r>
      <w:r w:rsidR="006F30D1">
        <w:rPr>
          <w:rFonts w:cstheme="minorHAnsi"/>
          <w:sz w:val="20"/>
          <w:szCs w:val="20"/>
        </w:rPr>
        <w:t xml:space="preserve"> </w:t>
      </w:r>
      <w:r w:rsidRPr="00E27CB4">
        <w:rPr>
          <w:rFonts w:cstheme="minorHAnsi"/>
          <w:sz w:val="20"/>
          <w:szCs w:val="20"/>
        </w:rPr>
        <w:t xml:space="preserve">Gemäß des </w:t>
      </w:r>
      <w:proofErr w:type="spellStart"/>
      <w:r w:rsidRPr="00E27CB4">
        <w:rPr>
          <w:rFonts w:cstheme="minorHAnsi"/>
          <w:sz w:val="20"/>
          <w:szCs w:val="20"/>
        </w:rPr>
        <w:t>D.Lgs</w:t>
      </w:r>
      <w:proofErr w:type="spellEnd"/>
      <w:r w:rsidRPr="00E27CB4">
        <w:rPr>
          <w:rFonts w:cstheme="minorHAnsi"/>
          <w:sz w:val="20"/>
          <w:szCs w:val="20"/>
        </w:rPr>
        <w:t>. Nr. 196 vom 30.06.2003 (Privacy-Gesetz) möchten wir Sie hiermit darüber unterrichten, dass im</w:t>
      </w:r>
      <w:r w:rsidR="006F30D1">
        <w:rPr>
          <w:rFonts w:cstheme="minorHAnsi"/>
          <w:sz w:val="20"/>
          <w:szCs w:val="20"/>
        </w:rPr>
        <w:t xml:space="preserve"> </w:t>
      </w:r>
      <w:r w:rsidRPr="00E27CB4">
        <w:rPr>
          <w:rFonts w:cstheme="minorHAnsi"/>
          <w:sz w:val="20"/>
          <w:szCs w:val="20"/>
        </w:rPr>
        <w:t>Archiv unseres Unternehmens Daten erfasst worden sind, die Ihre Person betreffen, auf die aber einzig und allein zum</w:t>
      </w:r>
      <w:r w:rsidR="006F30D1">
        <w:rPr>
          <w:rFonts w:cstheme="minorHAnsi"/>
          <w:sz w:val="20"/>
          <w:szCs w:val="20"/>
        </w:rPr>
        <w:t xml:space="preserve"> </w:t>
      </w:r>
      <w:r w:rsidRPr="00E27CB4">
        <w:rPr>
          <w:rFonts w:cstheme="minorHAnsi"/>
          <w:sz w:val="20"/>
          <w:szCs w:val="20"/>
        </w:rPr>
        <w:t>Zweck der Ausführung der mit den übernommenen Aufgaben zusammenhängenden Tätigkeit zurückgegriffen wird. In</w:t>
      </w:r>
      <w:r w:rsidR="006F30D1">
        <w:rPr>
          <w:rFonts w:cstheme="minorHAnsi"/>
          <w:sz w:val="20"/>
          <w:szCs w:val="20"/>
        </w:rPr>
        <w:t xml:space="preserve"> </w:t>
      </w:r>
      <w:r w:rsidRPr="00E27CB4">
        <w:rPr>
          <w:rFonts w:cstheme="minorHAnsi"/>
          <w:sz w:val="20"/>
          <w:szCs w:val="20"/>
        </w:rPr>
        <w:t>Bezug auf die Verarbeitung dieser Daten können Sie von den in Art. 13 des besagten Gesetzes vorgesehenen Rechten</w:t>
      </w:r>
    </w:p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lastRenderedPageBreak/>
        <w:t>Gebrauch machen, soweit dasselbe anwendbar ist.</w:t>
      </w:r>
    </w:p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>Ziel- und Zweckstellungen bei der Datenverarbeitung:</w:t>
      </w:r>
    </w:p>
    <w:p w:rsidR="00E27CB4" w:rsidRPr="006F30D1" w:rsidRDefault="00E27CB4" w:rsidP="006F30D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30D1">
        <w:rPr>
          <w:rFonts w:cstheme="minorHAnsi"/>
          <w:sz w:val="20"/>
          <w:szCs w:val="20"/>
        </w:rPr>
        <w:t>Erfüllung von gesetzlichen Pflichten, Pflichten aus Verordnungen, Gemeinschaftsnormen sowie zivil- und</w:t>
      </w:r>
      <w:r w:rsidR="006F30D1">
        <w:rPr>
          <w:rFonts w:cstheme="minorHAnsi"/>
          <w:sz w:val="20"/>
          <w:szCs w:val="20"/>
        </w:rPr>
        <w:t xml:space="preserve"> </w:t>
      </w:r>
      <w:r w:rsidRPr="006F30D1">
        <w:rPr>
          <w:rFonts w:cstheme="minorHAnsi"/>
          <w:sz w:val="20"/>
          <w:szCs w:val="20"/>
        </w:rPr>
        <w:t>steuerrechtlichen Gesetzen</w:t>
      </w:r>
    </w:p>
    <w:p w:rsidR="00E27CB4" w:rsidRPr="006F30D1" w:rsidRDefault="00E27CB4" w:rsidP="006F30D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30D1">
        <w:rPr>
          <w:rFonts w:cstheme="minorHAnsi"/>
          <w:sz w:val="20"/>
          <w:szCs w:val="20"/>
        </w:rPr>
        <w:t>Erfüllung eventueller vertraglicher Verpflichtungen gegenüber dem Betroffenen</w:t>
      </w:r>
    </w:p>
    <w:p w:rsidR="00E27CB4" w:rsidRPr="006F30D1" w:rsidRDefault="00E27CB4" w:rsidP="006F30D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30D1">
        <w:rPr>
          <w:rFonts w:cstheme="minorHAnsi"/>
          <w:sz w:val="20"/>
          <w:szCs w:val="20"/>
        </w:rPr>
        <w:t>Erfüllung von Tätigkeiten in Verbindung mit der Geschäftstätigke</w:t>
      </w:r>
      <w:r w:rsidR="006F30D1">
        <w:rPr>
          <w:rFonts w:cstheme="minorHAnsi"/>
          <w:sz w:val="20"/>
          <w:szCs w:val="20"/>
        </w:rPr>
        <w:t>it unserer Gesellschaft wie das A</w:t>
      </w:r>
      <w:r w:rsidRPr="006F30D1">
        <w:rPr>
          <w:rFonts w:cstheme="minorHAnsi"/>
          <w:sz w:val="20"/>
          <w:szCs w:val="20"/>
        </w:rPr>
        <w:t>usfüllen von</w:t>
      </w:r>
      <w:r w:rsidR="006F30D1">
        <w:rPr>
          <w:rFonts w:cstheme="minorHAnsi"/>
          <w:sz w:val="20"/>
          <w:szCs w:val="20"/>
        </w:rPr>
        <w:t xml:space="preserve"> </w:t>
      </w:r>
      <w:r w:rsidRPr="006F30D1">
        <w:rPr>
          <w:rFonts w:cstheme="minorHAnsi"/>
          <w:sz w:val="20"/>
          <w:szCs w:val="20"/>
        </w:rPr>
        <w:t>internen Statistiken, zur Rechnungslegung sowie zur Führung der Kunden-</w:t>
      </w:r>
      <w:r w:rsidR="006F30D1">
        <w:rPr>
          <w:rFonts w:cstheme="minorHAnsi"/>
          <w:sz w:val="20"/>
          <w:szCs w:val="20"/>
        </w:rPr>
        <w:t xml:space="preserve"> </w:t>
      </w:r>
      <w:r w:rsidRPr="006F30D1">
        <w:rPr>
          <w:rFonts w:cstheme="minorHAnsi"/>
          <w:sz w:val="20"/>
          <w:szCs w:val="20"/>
        </w:rPr>
        <w:t>Lieferantenbuchhaltung</w:t>
      </w:r>
    </w:p>
    <w:p w:rsidR="00E27CB4" w:rsidRDefault="00E27CB4" w:rsidP="006F30D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30D1">
        <w:rPr>
          <w:rFonts w:cstheme="minorHAnsi"/>
          <w:sz w:val="20"/>
          <w:szCs w:val="20"/>
        </w:rPr>
        <w:t>Zielstellungen geschäftlicher Art wie die Zusendung von Geschäftsinformationen (per Post, Fax und E-Mail),</w:t>
      </w:r>
      <w:r w:rsidR="006F30D1">
        <w:rPr>
          <w:rFonts w:cstheme="minorHAnsi"/>
          <w:sz w:val="20"/>
          <w:szCs w:val="20"/>
        </w:rPr>
        <w:t xml:space="preserve"> </w:t>
      </w:r>
      <w:r w:rsidRPr="006F30D1">
        <w:rPr>
          <w:rFonts w:cstheme="minorHAnsi"/>
          <w:sz w:val="20"/>
          <w:szCs w:val="20"/>
        </w:rPr>
        <w:t>Marketing und Marktuntersuchungen</w:t>
      </w:r>
    </w:p>
    <w:p w:rsidR="006F30D1" w:rsidRPr="006F30D1" w:rsidRDefault="006F30D1" w:rsidP="006F30D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>In Bezug auf die oben angegebenen Zielstellungen werden Ihre persönlichen Daten bei Bedarf weitergeleitet:</w:t>
      </w:r>
    </w:p>
    <w:p w:rsidR="006F30D1" w:rsidRDefault="00E27CB4" w:rsidP="006F30D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30D1">
        <w:rPr>
          <w:rFonts w:cstheme="minorHAnsi"/>
          <w:sz w:val="20"/>
          <w:szCs w:val="20"/>
        </w:rPr>
        <w:t>an die öffentlichen Verwaltungen und Behörden, wenn dies gesetzlich vorgesehen ist</w:t>
      </w:r>
    </w:p>
    <w:p w:rsidR="00E27CB4" w:rsidRPr="006F30D1" w:rsidRDefault="00E27CB4" w:rsidP="006F30D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30D1">
        <w:rPr>
          <w:rFonts w:cstheme="minorHAnsi"/>
          <w:sz w:val="20"/>
          <w:szCs w:val="20"/>
        </w:rPr>
        <w:t>an Kreditinstitute, mit denen unsere Firma Geschäftsbeziehungen zur Verwaltung von</w:t>
      </w:r>
      <w:r w:rsidR="006F30D1">
        <w:rPr>
          <w:rFonts w:cstheme="minorHAnsi"/>
          <w:sz w:val="20"/>
          <w:szCs w:val="20"/>
        </w:rPr>
        <w:t xml:space="preserve"> </w:t>
      </w:r>
      <w:r w:rsidRPr="006F30D1">
        <w:rPr>
          <w:rFonts w:cstheme="minorHAnsi"/>
          <w:sz w:val="20"/>
          <w:szCs w:val="20"/>
        </w:rPr>
        <w:t>Forderungen/Verbindlichkeiten und zur Finanzierungsvermittlung unterhält</w:t>
      </w:r>
    </w:p>
    <w:p w:rsidR="00E27CB4" w:rsidRPr="006F30D1" w:rsidRDefault="00E27CB4" w:rsidP="006F30D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30D1">
        <w:rPr>
          <w:rFonts w:cstheme="minorHAnsi"/>
          <w:sz w:val="20"/>
          <w:szCs w:val="20"/>
        </w:rPr>
        <w:t>an alle jenen natürlichen und/oder juristischen, öffentlichen und/oder privaten Personen (Rechts-,</w:t>
      </w:r>
    </w:p>
    <w:p w:rsidR="00E27CB4" w:rsidRPr="006F30D1" w:rsidRDefault="00E27CB4" w:rsidP="006F30D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30D1">
        <w:rPr>
          <w:rFonts w:cstheme="minorHAnsi"/>
          <w:sz w:val="20"/>
          <w:szCs w:val="20"/>
        </w:rPr>
        <w:t xml:space="preserve">Verwaltungs- und Steuerberatungsbüros, Gerichte, Handelskammern usw.), wenn sich die </w:t>
      </w:r>
      <w:r w:rsidR="006F30D1" w:rsidRPr="006F30D1">
        <w:rPr>
          <w:rFonts w:cstheme="minorHAnsi"/>
          <w:sz w:val="20"/>
          <w:szCs w:val="20"/>
        </w:rPr>
        <w:t>W</w:t>
      </w:r>
      <w:r w:rsidRPr="006F30D1">
        <w:rPr>
          <w:rFonts w:cstheme="minorHAnsi"/>
          <w:sz w:val="20"/>
          <w:szCs w:val="20"/>
        </w:rPr>
        <w:t>eiterleitung als</w:t>
      </w:r>
      <w:r w:rsidR="006F30D1" w:rsidRPr="006F30D1">
        <w:rPr>
          <w:rFonts w:cstheme="minorHAnsi"/>
          <w:sz w:val="20"/>
          <w:szCs w:val="20"/>
        </w:rPr>
        <w:t xml:space="preserve"> </w:t>
      </w:r>
      <w:r w:rsidRPr="006F30D1">
        <w:rPr>
          <w:rFonts w:cstheme="minorHAnsi"/>
          <w:sz w:val="20"/>
          <w:szCs w:val="20"/>
        </w:rPr>
        <w:t>notwendig oder zur Ausübung unserer Tätigkeit zweckdienlich erweist sowie auf die oben angegebene Art</w:t>
      </w:r>
      <w:r w:rsidR="006F30D1">
        <w:rPr>
          <w:rFonts w:cstheme="minorHAnsi"/>
          <w:sz w:val="20"/>
          <w:szCs w:val="20"/>
        </w:rPr>
        <w:t xml:space="preserve"> </w:t>
      </w:r>
      <w:r w:rsidRPr="006F30D1">
        <w:rPr>
          <w:rFonts w:cstheme="minorHAnsi"/>
          <w:sz w:val="20"/>
          <w:szCs w:val="20"/>
        </w:rPr>
        <w:t>und Weise mit den entsprechenden Zielstellungen</w:t>
      </w:r>
    </w:p>
    <w:p w:rsidR="006F30D1" w:rsidRDefault="006F30D1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>Der Inhaber der Datenverarbeitung ist:</w:t>
      </w:r>
    </w:p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>Wasserkraftwerk Mühlwald AG, mit Sitz in Mühlwald, Hauptort 18/A, in Person des gesetzlichen Vertreters Herr</w:t>
      </w:r>
    </w:p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>Unterhofer Josef.</w:t>
      </w:r>
    </w:p>
    <w:p w:rsidR="006F30D1" w:rsidRPr="00E27CB4" w:rsidRDefault="006F30D1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>Mühlwald, am ____________________.</w:t>
      </w:r>
    </w:p>
    <w:p w:rsidR="006F30D1" w:rsidRDefault="006F30D1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F30D1" w:rsidRPr="00E27CB4" w:rsidRDefault="006F30D1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7CB4" w:rsidRPr="00E27CB4" w:rsidRDefault="006F30D1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Der Wärmeabnehmer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27CB4" w:rsidRPr="00E27CB4">
        <w:rPr>
          <w:rFonts w:cstheme="minorHAnsi"/>
          <w:sz w:val="20"/>
          <w:szCs w:val="20"/>
        </w:rPr>
        <w:t>Wasserkraftwerk Mühlwald AG</w:t>
      </w:r>
    </w:p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 xml:space="preserve">_________________ </w:t>
      </w:r>
      <w:r w:rsidR="006F30D1">
        <w:rPr>
          <w:rFonts w:cstheme="minorHAnsi"/>
          <w:sz w:val="20"/>
          <w:szCs w:val="20"/>
        </w:rPr>
        <w:tab/>
      </w:r>
      <w:r w:rsidR="006F30D1">
        <w:rPr>
          <w:rFonts w:cstheme="minorHAnsi"/>
          <w:sz w:val="20"/>
          <w:szCs w:val="20"/>
        </w:rPr>
        <w:tab/>
      </w:r>
      <w:r w:rsidR="006F30D1">
        <w:rPr>
          <w:rFonts w:cstheme="minorHAnsi"/>
          <w:sz w:val="20"/>
          <w:szCs w:val="20"/>
        </w:rPr>
        <w:tab/>
      </w:r>
      <w:r w:rsidR="006F30D1">
        <w:rPr>
          <w:rFonts w:cstheme="minorHAnsi"/>
          <w:sz w:val="20"/>
          <w:szCs w:val="20"/>
        </w:rPr>
        <w:tab/>
      </w:r>
      <w:r w:rsidRPr="00E27CB4">
        <w:rPr>
          <w:rFonts w:cstheme="minorHAnsi"/>
          <w:sz w:val="20"/>
          <w:szCs w:val="20"/>
        </w:rPr>
        <w:t>WKWM AG _______________________</w:t>
      </w:r>
    </w:p>
    <w:p w:rsidR="006F30D1" w:rsidRPr="00E27CB4" w:rsidRDefault="006F30D1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>Der Wärmeabnehmer bestätigt mit seiner Unterschrift, alle Punkte im Tarifblatt gelesen und verstanden zu haben.</w:t>
      </w:r>
    </w:p>
    <w:p w:rsidR="006F30D1" w:rsidRDefault="006F30D1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7CB4" w:rsidRP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>Der Wärmeabnehmer</w:t>
      </w:r>
    </w:p>
    <w:p w:rsidR="00E27CB4" w:rsidRDefault="00E27CB4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27CB4">
        <w:rPr>
          <w:rFonts w:cstheme="minorHAnsi"/>
          <w:sz w:val="20"/>
          <w:szCs w:val="20"/>
        </w:rPr>
        <w:t>_________________</w:t>
      </w:r>
    </w:p>
    <w:p w:rsidR="006F30D1" w:rsidRPr="00E27CB4" w:rsidRDefault="006F30D1" w:rsidP="00E27CB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6F30D1" w:rsidRPr="00E27C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0F3F"/>
    <w:multiLevelType w:val="hybridMultilevel"/>
    <w:tmpl w:val="35A0A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72224"/>
    <w:multiLevelType w:val="hybridMultilevel"/>
    <w:tmpl w:val="DCDED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B4"/>
    <w:rsid w:val="006C1D40"/>
    <w:rsid w:val="006F30D1"/>
    <w:rsid w:val="00E2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3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Wasserkraftwerk Mühlwald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Wasserkraft Mühlwald AG</dc:creator>
  <cp:lastModifiedBy>Wasserkraft Mühlwald AG</cp:lastModifiedBy>
  <cp:revision>1</cp:revision>
  <dcterms:created xsi:type="dcterms:W3CDTF">2019-09-18T12:34:00Z</dcterms:created>
  <dcterms:modified xsi:type="dcterms:W3CDTF">2019-09-18T12:50:00Z</dcterms:modified>
</cp:coreProperties>
</file>